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22BF0">
        <w:rPr>
          <w:rFonts w:ascii="Palatino Linotype" w:hAnsi="Palatino Linotype" w:cs="Arial"/>
          <w:b/>
          <w:bCs/>
          <w:sz w:val="23"/>
          <w:szCs w:val="23"/>
        </w:rPr>
        <w:t>3</w:t>
      </w:r>
      <w:r w:rsidR="006C0E01">
        <w:rPr>
          <w:rFonts w:ascii="Palatino Linotype" w:hAnsi="Palatino Linotype" w:cs="Arial"/>
          <w:b/>
          <w:bCs/>
          <w:sz w:val="23"/>
          <w:szCs w:val="23"/>
        </w:rPr>
        <w:t>895</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8A2CCF" w:rsidRPr="008A2CCF" w:rsidRDefault="00E6179D">
          <w:pPr>
            <w:pStyle w:val="TDC1"/>
            <w:rPr>
              <w:rFonts w:eastAsiaTheme="minorEastAsia"/>
              <w:b w:val="0"/>
              <w:sz w:val="24"/>
              <w:szCs w:val="24"/>
              <w:lang w:eastAsia="es-MX"/>
            </w:rPr>
          </w:pPr>
          <w:r w:rsidRPr="00B84C49">
            <w:rPr>
              <w:sz w:val="24"/>
              <w:szCs w:val="24"/>
            </w:rPr>
            <w:fldChar w:fldCharType="begin"/>
          </w:r>
          <w:r w:rsidRPr="00B84C49">
            <w:rPr>
              <w:sz w:val="24"/>
              <w:szCs w:val="24"/>
            </w:rPr>
            <w:instrText xml:space="preserve"> TOC \o "1-3" \h \z \u </w:instrText>
          </w:r>
          <w:r w:rsidRPr="00B84C49">
            <w:rPr>
              <w:sz w:val="24"/>
              <w:szCs w:val="24"/>
            </w:rPr>
            <w:fldChar w:fldCharType="separate"/>
          </w:r>
          <w:hyperlink w:anchor="_Toc531602694" w:history="1">
            <w:r w:rsidR="008A2CCF" w:rsidRPr="008A2CCF">
              <w:rPr>
                <w:rStyle w:val="Hipervnculo"/>
                <w:rFonts w:eastAsia="Times New Roman"/>
                <w:sz w:val="24"/>
                <w:szCs w:val="24"/>
              </w:rPr>
              <w:t>I.</w:t>
            </w:r>
            <w:r w:rsidR="008A2CCF" w:rsidRPr="008A2CCF">
              <w:rPr>
                <w:rFonts w:eastAsiaTheme="minorEastAsia"/>
                <w:b w:val="0"/>
                <w:sz w:val="24"/>
                <w:szCs w:val="24"/>
                <w:lang w:eastAsia="es-MX"/>
              </w:rPr>
              <w:tab/>
            </w:r>
            <w:r w:rsidR="008A2CCF" w:rsidRPr="008A2CCF">
              <w:rPr>
                <w:rStyle w:val="Hipervnculo"/>
                <w:rFonts w:eastAsia="Times New Roman"/>
                <w:sz w:val="24"/>
                <w:szCs w:val="24"/>
              </w:rPr>
              <w:t>Consideraciones Generales</w:t>
            </w:r>
            <w:r w:rsidR="008A2CCF" w:rsidRPr="008A2CCF">
              <w:rPr>
                <w:webHidden/>
                <w:sz w:val="24"/>
                <w:szCs w:val="24"/>
              </w:rPr>
              <w:tab/>
            </w:r>
            <w:r w:rsidR="008A2CCF" w:rsidRPr="008A2CCF">
              <w:rPr>
                <w:webHidden/>
                <w:sz w:val="24"/>
                <w:szCs w:val="24"/>
              </w:rPr>
              <w:fldChar w:fldCharType="begin"/>
            </w:r>
            <w:r w:rsidR="008A2CCF" w:rsidRPr="008A2CCF">
              <w:rPr>
                <w:webHidden/>
                <w:sz w:val="24"/>
                <w:szCs w:val="24"/>
              </w:rPr>
              <w:instrText xml:space="preserve"> PAGEREF _Toc531602694 \h </w:instrText>
            </w:r>
            <w:r w:rsidR="008A2CCF" w:rsidRPr="008A2CCF">
              <w:rPr>
                <w:webHidden/>
                <w:sz w:val="24"/>
                <w:szCs w:val="24"/>
              </w:rPr>
            </w:r>
            <w:r w:rsidR="008A2CCF" w:rsidRPr="008A2CCF">
              <w:rPr>
                <w:webHidden/>
                <w:sz w:val="24"/>
                <w:szCs w:val="24"/>
              </w:rPr>
              <w:fldChar w:fldCharType="separate"/>
            </w:r>
            <w:r w:rsidR="00944CE0">
              <w:rPr>
                <w:webHidden/>
                <w:sz w:val="24"/>
                <w:szCs w:val="24"/>
              </w:rPr>
              <w:t>1</w:t>
            </w:r>
            <w:r w:rsidR="008A2CCF" w:rsidRPr="008A2CCF">
              <w:rPr>
                <w:webHidden/>
                <w:sz w:val="24"/>
                <w:szCs w:val="24"/>
              </w:rPr>
              <w:fldChar w:fldCharType="end"/>
            </w:r>
          </w:hyperlink>
        </w:p>
        <w:p w:rsidR="008A2CCF" w:rsidRPr="008A2CCF" w:rsidRDefault="004A5457">
          <w:pPr>
            <w:pStyle w:val="TDC1"/>
            <w:rPr>
              <w:rFonts w:eastAsiaTheme="minorEastAsia"/>
              <w:b w:val="0"/>
              <w:sz w:val="24"/>
              <w:szCs w:val="24"/>
              <w:lang w:eastAsia="es-MX"/>
            </w:rPr>
          </w:pPr>
          <w:hyperlink w:anchor="_Toc531602695" w:history="1">
            <w:r w:rsidR="008A2CCF" w:rsidRPr="008A2CCF">
              <w:rPr>
                <w:rStyle w:val="Hipervnculo"/>
                <w:rFonts w:eastAsia="Calibri"/>
                <w:sz w:val="24"/>
                <w:szCs w:val="24"/>
                <w:lang w:val="es-ES"/>
              </w:rPr>
              <w:t>II.</w:t>
            </w:r>
            <w:r w:rsidR="008A2CCF" w:rsidRPr="008A2CCF">
              <w:rPr>
                <w:rFonts w:eastAsiaTheme="minorEastAsia"/>
                <w:b w:val="0"/>
                <w:sz w:val="24"/>
                <w:szCs w:val="24"/>
                <w:lang w:eastAsia="es-MX"/>
              </w:rPr>
              <w:tab/>
            </w:r>
            <w:r w:rsidR="008A2CCF" w:rsidRPr="008A2CCF">
              <w:rPr>
                <w:rStyle w:val="Hipervnculo"/>
                <w:rFonts w:eastAsia="Calibri"/>
                <w:sz w:val="24"/>
                <w:szCs w:val="24"/>
                <w:lang w:val="es-ES"/>
              </w:rPr>
              <w:t>De los requerimientos planteados en el recurso de revisión.</w:t>
            </w:r>
            <w:r w:rsidR="008A2CCF" w:rsidRPr="008A2CCF">
              <w:rPr>
                <w:webHidden/>
                <w:sz w:val="24"/>
                <w:szCs w:val="24"/>
              </w:rPr>
              <w:tab/>
            </w:r>
            <w:r w:rsidR="008A2CCF" w:rsidRPr="008A2CCF">
              <w:rPr>
                <w:webHidden/>
                <w:sz w:val="24"/>
                <w:szCs w:val="24"/>
              </w:rPr>
              <w:fldChar w:fldCharType="begin"/>
            </w:r>
            <w:r w:rsidR="008A2CCF" w:rsidRPr="008A2CCF">
              <w:rPr>
                <w:webHidden/>
                <w:sz w:val="24"/>
                <w:szCs w:val="24"/>
              </w:rPr>
              <w:instrText xml:space="preserve"> PAGEREF _Toc531602695 \h </w:instrText>
            </w:r>
            <w:r w:rsidR="008A2CCF" w:rsidRPr="008A2CCF">
              <w:rPr>
                <w:webHidden/>
                <w:sz w:val="24"/>
                <w:szCs w:val="24"/>
              </w:rPr>
            </w:r>
            <w:r w:rsidR="008A2CCF" w:rsidRPr="008A2CCF">
              <w:rPr>
                <w:webHidden/>
                <w:sz w:val="24"/>
                <w:szCs w:val="24"/>
              </w:rPr>
              <w:fldChar w:fldCharType="separate"/>
            </w:r>
            <w:r w:rsidR="00944CE0">
              <w:rPr>
                <w:webHidden/>
                <w:sz w:val="24"/>
                <w:szCs w:val="24"/>
              </w:rPr>
              <w:t>2</w:t>
            </w:r>
            <w:r w:rsidR="008A2CCF" w:rsidRPr="008A2CCF">
              <w:rPr>
                <w:webHidden/>
                <w:sz w:val="24"/>
                <w:szCs w:val="24"/>
              </w:rPr>
              <w:fldChar w:fldCharType="end"/>
            </w:r>
          </w:hyperlink>
        </w:p>
        <w:p w:rsidR="008A2CCF" w:rsidRPr="008A2CCF" w:rsidRDefault="004A5457">
          <w:pPr>
            <w:pStyle w:val="TDC2"/>
            <w:rPr>
              <w:rFonts w:ascii="Palatino Linotype" w:eastAsiaTheme="minorEastAsia" w:hAnsi="Palatino Linotype"/>
              <w:noProof/>
              <w:sz w:val="24"/>
              <w:szCs w:val="24"/>
              <w:lang w:eastAsia="es-MX"/>
            </w:rPr>
          </w:pPr>
          <w:hyperlink w:anchor="_Toc531602696" w:history="1">
            <w:r w:rsidR="008A2CCF" w:rsidRPr="008A2CCF">
              <w:rPr>
                <w:rStyle w:val="Hipervnculo"/>
                <w:rFonts w:ascii="Palatino Linotype" w:hAnsi="Palatino Linotype"/>
                <w:b/>
                <w:noProof/>
                <w:sz w:val="24"/>
                <w:szCs w:val="24"/>
              </w:rPr>
              <w:t>III. Del Derecho de Acceso a la información pública y el deber de motivar.</w:t>
            </w:r>
            <w:r w:rsidR="008A2CCF" w:rsidRPr="008A2CCF">
              <w:rPr>
                <w:rFonts w:ascii="Palatino Linotype" w:hAnsi="Palatino Linotype"/>
                <w:noProof/>
                <w:webHidden/>
                <w:sz w:val="24"/>
                <w:szCs w:val="24"/>
              </w:rPr>
              <w:tab/>
            </w:r>
            <w:r w:rsidR="008A2CCF" w:rsidRPr="008A2CCF">
              <w:rPr>
                <w:rFonts w:ascii="Palatino Linotype" w:hAnsi="Palatino Linotype"/>
                <w:noProof/>
                <w:webHidden/>
                <w:sz w:val="24"/>
                <w:szCs w:val="24"/>
              </w:rPr>
              <w:fldChar w:fldCharType="begin"/>
            </w:r>
            <w:r w:rsidR="008A2CCF" w:rsidRPr="008A2CCF">
              <w:rPr>
                <w:rFonts w:ascii="Palatino Linotype" w:hAnsi="Palatino Linotype"/>
                <w:noProof/>
                <w:webHidden/>
                <w:sz w:val="24"/>
                <w:szCs w:val="24"/>
              </w:rPr>
              <w:instrText xml:space="preserve"> PAGEREF _Toc531602696 \h </w:instrText>
            </w:r>
            <w:r w:rsidR="008A2CCF" w:rsidRPr="008A2CCF">
              <w:rPr>
                <w:rFonts w:ascii="Palatino Linotype" w:hAnsi="Palatino Linotype"/>
                <w:noProof/>
                <w:webHidden/>
                <w:sz w:val="24"/>
                <w:szCs w:val="24"/>
              </w:rPr>
            </w:r>
            <w:r w:rsidR="008A2CCF" w:rsidRPr="008A2CCF">
              <w:rPr>
                <w:rFonts w:ascii="Palatino Linotype" w:hAnsi="Palatino Linotype"/>
                <w:noProof/>
                <w:webHidden/>
                <w:sz w:val="24"/>
                <w:szCs w:val="24"/>
              </w:rPr>
              <w:fldChar w:fldCharType="separate"/>
            </w:r>
            <w:r w:rsidR="00944CE0">
              <w:rPr>
                <w:rFonts w:ascii="Palatino Linotype" w:hAnsi="Palatino Linotype"/>
                <w:noProof/>
                <w:webHidden/>
                <w:sz w:val="24"/>
                <w:szCs w:val="24"/>
              </w:rPr>
              <w:t>5</w:t>
            </w:r>
            <w:r w:rsidR="008A2CCF" w:rsidRPr="008A2CCF">
              <w:rPr>
                <w:rFonts w:ascii="Palatino Linotype" w:hAnsi="Palatino Linotype"/>
                <w:noProof/>
                <w:webHidden/>
                <w:sz w:val="24"/>
                <w:szCs w:val="24"/>
              </w:rPr>
              <w:fldChar w:fldCharType="end"/>
            </w:r>
          </w:hyperlink>
        </w:p>
        <w:p w:rsidR="008A2CCF" w:rsidRPr="008A2CCF" w:rsidRDefault="004A5457">
          <w:pPr>
            <w:pStyle w:val="TDC1"/>
            <w:rPr>
              <w:rFonts w:eastAsiaTheme="minorEastAsia"/>
              <w:b w:val="0"/>
              <w:sz w:val="24"/>
              <w:szCs w:val="24"/>
              <w:lang w:eastAsia="es-MX"/>
            </w:rPr>
          </w:pPr>
          <w:hyperlink w:anchor="_Toc531602697" w:history="1">
            <w:r w:rsidR="008A2CCF" w:rsidRPr="008A2CCF">
              <w:rPr>
                <w:rStyle w:val="Hipervnculo"/>
                <w:rFonts w:eastAsia="Calibri"/>
                <w:sz w:val="24"/>
                <w:szCs w:val="24"/>
              </w:rPr>
              <w:t>IV. Del Pronunciamiento simple</w:t>
            </w:r>
            <w:r w:rsidR="008A2CCF" w:rsidRPr="008A2CCF">
              <w:rPr>
                <w:webHidden/>
                <w:sz w:val="24"/>
                <w:szCs w:val="24"/>
              </w:rPr>
              <w:tab/>
            </w:r>
            <w:r w:rsidR="008A2CCF" w:rsidRPr="008A2CCF">
              <w:rPr>
                <w:webHidden/>
                <w:sz w:val="24"/>
                <w:szCs w:val="24"/>
              </w:rPr>
              <w:fldChar w:fldCharType="begin"/>
            </w:r>
            <w:r w:rsidR="008A2CCF" w:rsidRPr="008A2CCF">
              <w:rPr>
                <w:webHidden/>
                <w:sz w:val="24"/>
                <w:szCs w:val="24"/>
              </w:rPr>
              <w:instrText xml:space="preserve"> PAGEREF _Toc531602697 \h </w:instrText>
            </w:r>
            <w:r w:rsidR="008A2CCF" w:rsidRPr="008A2CCF">
              <w:rPr>
                <w:webHidden/>
                <w:sz w:val="24"/>
                <w:szCs w:val="24"/>
              </w:rPr>
            </w:r>
            <w:r w:rsidR="008A2CCF" w:rsidRPr="008A2CCF">
              <w:rPr>
                <w:webHidden/>
                <w:sz w:val="24"/>
                <w:szCs w:val="24"/>
              </w:rPr>
              <w:fldChar w:fldCharType="separate"/>
            </w:r>
            <w:r w:rsidR="00944CE0">
              <w:rPr>
                <w:webHidden/>
                <w:sz w:val="24"/>
                <w:szCs w:val="24"/>
              </w:rPr>
              <w:t>10</w:t>
            </w:r>
            <w:r w:rsidR="008A2CCF" w:rsidRPr="008A2CCF">
              <w:rPr>
                <w:webHidden/>
                <w:sz w:val="24"/>
                <w:szCs w:val="24"/>
              </w:rPr>
              <w:fldChar w:fldCharType="end"/>
            </w:r>
          </w:hyperlink>
        </w:p>
        <w:p w:rsidR="008A2CCF" w:rsidRDefault="004A5457">
          <w:pPr>
            <w:pStyle w:val="TDC1"/>
            <w:rPr>
              <w:rFonts w:asciiTheme="minorHAnsi" w:eastAsiaTheme="minorEastAsia" w:hAnsiTheme="minorHAnsi"/>
              <w:b w:val="0"/>
              <w:sz w:val="22"/>
              <w:szCs w:val="22"/>
              <w:lang w:eastAsia="es-MX"/>
            </w:rPr>
          </w:pPr>
          <w:hyperlink w:anchor="_Toc531602698" w:history="1">
            <w:r w:rsidR="008A2CCF" w:rsidRPr="008A2CCF">
              <w:rPr>
                <w:rStyle w:val="Hipervnculo"/>
                <w:rFonts w:eastAsia="Calibri"/>
                <w:sz w:val="24"/>
                <w:szCs w:val="24"/>
              </w:rPr>
              <w:t>V. Conclusión.</w:t>
            </w:r>
            <w:r w:rsidR="008A2CCF" w:rsidRPr="008A2CCF">
              <w:rPr>
                <w:webHidden/>
                <w:sz w:val="24"/>
                <w:szCs w:val="24"/>
              </w:rPr>
              <w:tab/>
            </w:r>
            <w:r w:rsidR="008A2CCF" w:rsidRPr="008A2CCF">
              <w:rPr>
                <w:webHidden/>
                <w:sz w:val="24"/>
                <w:szCs w:val="24"/>
              </w:rPr>
              <w:fldChar w:fldCharType="begin"/>
            </w:r>
            <w:r w:rsidR="008A2CCF" w:rsidRPr="008A2CCF">
              <w:rPr>
                <w:webHidden/>
                <w:sz w:val="24"/>
                <w:szCs w:val="24"/>
              </w:rPr>
              <w:instrText xml:space="preserve"> PAGEREF _Toc531602698 \h </w:instrText>
            </w:r>
            <w:r w:rsidR="008A2CCF" w:rsidRPr="008A2CCF">
              <w:rPr>
                <w:webHidden/>
                <w:sz w:val="24"/>
                <w:szCs w:val="24"/>
              </w:rPr>
            </w:r>
            <w:r w:rsidR="008A2CCF" w:rsidRPr="008A2CCF">
              <w:rPr>
                <w:webHidden/>
                <w:sz w:val="24"/>
                <w:szCs w:val="24"/>
              </w:rPr>
              <w:fldChar w:fldCharType="separate"/>
            </w:r>
            <w:r w:rsidR="00944CE0">
              <w:rPr>
                <w:webHidden/>
                <w:sz w:val="24"/>
                <w:szCs w:val="24"/>
              </w:rPr>
              <w:t>17</w:t>
            </w:r>
            <w:r w:rsidR="008A2CCF" w:rsidRPr="008A2CCF">
              <w:rPr>
                <w:webHidden/>
                <w:sz w:val="24"/>
                <w:szCs w:val="24"/>
              </w:rPr>
              <w:fldChar w:fldCharType="end"/>
            </w:r>
          </w:hyperlink>
        </w:p>
        <w:p w:rsidR="00E6179D" w:rsidRPr="00082116" w:rsidRDefault="00E6179D" w:rsidP="00B73B30">
          <w:pPr>
            <w:spacing w:line="360" w:lineRule="auto"/>
            <w:rPr>
              <w:rFonts w:ascii="Palatino Linotype" w:hAnsi="Palatino Linotype"/>
              <w:sz w:val="24"/>
              <w:szCs w:val="24"/>
            </w:rPr>
          </w:pPr>
          <w:r w:rsidRPr="00B84C4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1602694"/>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422BF0">
        <w:rPr>
          <w:rFonts w:ascii="Palatino Linotype" w:eastAsia="Calibri" w:hAnsi="Palatino Linotype" w:cs="Arial"/>
          <w:sz w:val="24"/>
          <w:szCs w:val="24"/>
        </w:rPr>
        <w:t>Cuarta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0131FD">
        <w:rPr>
          <w:rFonts w:ascii="Palatino Linotype" w:eastAsia="Calibri" w:hAnsi="Palatino Linotype" w:cs="Arial"/>
          <w:sz w:val="24"/>
          <w:szCs w:val="24"/>
        </w:rPr>
        <w:t>v</w:t>
      </w:r>
      <w:r w:rsidR="00422BF0">
        <w:rPr>
          <w:rFonts w:ascii="Palatino Linotype" w:eastAsia="Calibri" w:hAnsi="Palatino Linotype" w:cs="Arial"/>
          <w:sz w:val="24"/>
          <w:szCs w:val="24"/>
        </w:rPr>
        <w:t>eintiocho</w:t>
      </w:r>
      <w:r w:rsidRPr="00427B79">
        <w:rPr>
          <w:rFonts w:ascii="Palatino Linotype" w:eastAsia="Calibri" w:hAnsi="Palatino Linotype" w:cs="Arial"/>
          <w:sz w:val="24"/>
          <w:szCs w:val="24"/>
        </w:rPr>
        <w:t xml:space="preserve"> (</w:t>
      </w:r>
      <w:r w:rsidR="00422BF0">
        <w:rPr>
          <w:rFonts w:ascii="Palatino Linotype" w:eastAsia="Calibri" w:hAnsi="Palatino Linotype" w:cs="Arial"/>
          <w:sz w:val="24"/>
          <w:szCs w:val="24"/>
        </w:rPr>
        <w:t>28)</w:t>
      </w:r>
      <w:r w:rsidRPr="00427B79">
        <w:rPr>
          <w:rFonts w:ascii="Palatino Linotype" w:eastAsia="Calibri" w:hAnsi="Palatino Linotype" w:cs="Arial"/>
          <w:sz w:val="24"/>
          <w:szCs w:val="24"/>
        </w:rPr>
        <w:t xml:space="preserve"> de </w:t>
      </w:r>
      <w:r w:rsidR="000131FD">
        <w:rPr>
          <w:rFonts w:ascii="Palatino Linotype" w:eastAsia="Calibri" w:hAnsi="Palatino Linotype" w:cs="Arial"/>
          <w:sz w:val="24"/>
          <w:szCs w:val="24"/>
        </w:rPr>
        <w:t>noviembr</w:t>
      </w:r>
      <w:r w:rsidR="00930786">
        <w:rPr>
          <w:rFonts w:ascii="Palatino Linotype" w:eastAsia="Calibri" w:hAnsi="Palatino Linotype" w:cs="Arial"/>
          <w:sz w:val="24"/>
          <w:szCs w:val="24"/>
        </w:rPr>
        <w:t>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 xml:space="preserve">dos mil </w:t>
      </w:r>
      <w:r w:rsidR="001F0E58">
        <w:rPr>
          <w:rFonts w:ascii="Palatino Linotype" w:eastAsia="Calibri" w:hAnsi="Palatino Linotype" w:cs="Arial"/>
          <w:sz w:val="24"/>
          <w:szCs w:val="24"/>
        </w:rPr>
        <w:lastRenderedPageBreak/>
        <w:t>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F776CD" w:rsidRPr="00F776CD">
        <w:rPr>
          <w:rFonts w:ascii="Palatino Linotype" w:hAnsi="Palatino Linotype"/>
          <w:b/>
        </w:rPr>
        <w:t xml:space="preserve"> </w:t>
      </w:r>
      <w:r w:rsidR="005E3091" w:rsidRPr="005E3091">
        <w:rPr>
          <w:rFonts w:ascii="Palatino Linotype" w:hAnsi="Palatino Linotype" w:cs="Arial"/>
          <w:b/>
        </w:rPr>
        <w:t xml:space="preserve"> </w:t>
      </w:r>
      <w:r w:rsidR="004A5457" w:rsidRPr="004A5457">
        <w:rPr>
          <w:rFonts w:ascii="Palatino Linotype" w:hAnsi="Palatino Linotype" w:cs="Arial"/>
          <w:b/>
          <w:sz w:val="24"/>
          <w:szCs w:val="24"/>
          <w:highlight w:val="black"/>
        </w:rPr>
        <w:t>----------------------------------</w:t>
      </w:r>
      <w:bookmarkStart w:id="1" w:name="_GoBack"/>
      <w:bookmarkEnd w:id="1"/>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6C0E01">
        <w:rPr>
          <w:rFonts w:ascii="Palatino Linotype" w:eastAsia="Calibri" w:hAnsi="Palatino Linotype" w:cs="Arial"/>
          <w:sz w:val="24"/>
          <w:szCs w:val="24"/>
        </w:rPr>
        <w:t>l</w:t>
      </w:r>
      <w:r w:rsidR="006C0E01" w:rsidRPr="006C0E01">
        <w:rPr>
          <w:rFonts w:ascii="Palatino Linotype" w:hAnsi="Palatino Linotype" w:cs="Arial"/>
          <w:b/>
          <w:sz w:val="24"/>
          <w:szCs w:val="24"/>
        </w:rPr>
        <w:t xml:space="preserve"> </w:t>
      </w:r>
      <w:r w:rsidR="006C0E01" w:rsidRPr="00C11788">
        <w:rPr>
          <w:rFonts w:ascii="Palatino Linotype" w:hAnsi="Palatino Linotype" w:cs="Arial"/>
          <w:b/>
          <w:sz w:val="24"/>
          <w:szCs w:val="24"/>
        </w:rPr>
        <w:t>Ayuntamiento de Tecámac</w:t>
      </w:r>
      <w:r w:rsidR="00436541" w:rsidRPr="004D379F">
        <w:rPr>
          <w:rFonts w:ascii="Palatino Linotype" w:hAnsi="Palatino Linotype" w:cs="Arial"/>
        </w:rPr>
        <w:t>,</w:t>
      </w:r>
      <w:r w:rsidR="005E3091">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6C0E01">
        <w:rPr>
          <w:rFonts w:ascii="Palatino Linotype" w:hAnsi="Palatino Linotype" w:cs="Arial"/>
          <w:b/>
          <w:bCs/>
          <w:sz w:val="23"/>
          <w:szCs w:val="23"/>
        </w:rPr>
        <w:t>3895</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6C0E01">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1602695"/>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5E3091">
        <w:rPr>
          <w:rFonts w:ascii="Palatino Linotype" w:eastAsia="Calibri" w:hAnsi="Palatino Linotype" w:cs="Arial"/>
          <w:sz w:val="24"/>
          <w:szCs w:val="24"/>
        </w:rPr>
        <w:t>l</w:t>
      </w:r>
      <w:r w:rsidR="006C0E01" w:rsidRPr="006C0E01">
        <w:rPr>
          <w:rFonts w:ascii="Palatino Linotype" w:hAnsi="Palatino Linotype" w:cs="Arial"/>
          <w:b/>
          <w:sz w:val="24"/>
          <w:szCs w:val="24"/>
        </w:rPr>
        <w:t xml:space="preserve"> </w:t>
      </w:r>
      <w:r w:rsidR="006C0E01" w:rsidRPr="00C11788">
        <w:rPr>
          <w:rFonts w:ascii="Palatino Linotype" w:hAnsi="Palatino Linotype" w:cs="Arial"/>
          <w:b/>
          <w:sz w:val="24"/>
          <w:szCs w:val="24"/>
        </w:rPr>
        <w:t>Ayuntamiento de Tecámac</w:t>
      </w:r>
      <w:r w:rsidR="003B6B7C">
        <w:rPr>
          <w:rFonts w:ascii="Palatino Linotype" w:hAnsi="Palatino Linotype" w:cs="Arial"/>
          <w:b/>
          <w:sz w:val="24"/>
          <w:szCs w:val="24"/>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6C0E01" w:rsidRPr="005F1F26" w:rsidRDefault="006C0E01" w:rsidP="006C0E01">
      <w:pPr>
        <w:ind w:left="851" w:right="850"/>
        <w:jc w:val="both"/>
        <w:rPr>
          <w:rFonts w:ascii="Palatino Linotype" w:eastAsia="Times New Roman" w:hAnsi="Palatino Linotype" w:cs="Times New Roman"/>
          <w:i/>
          <w:lang w:eastAsia="es-MX"/>
        </w:rPr>
      </w:pPr>
      <w:r w:rsidRPr="005F1F26">
        <w:rPr>
          <w:rFonts w:ascii="Palatino Linotype" w:eastAsia="Times New Roman" w:hAnsi="Palatino Linotype" w:cs="Times New Roman"/>
          <w:i/>
          <w:lang w:eastAsia="es-ES"/>
        </w:rPr>
        <w:t>“</w:t>
      </w:r>
      <w:r w:rsidRPr="00C11788">
        <w:rPr>
          <w:rFonts w:ascii="Palatino Linotype" w:eastAsia="Times New Roman" w:hAnsi="Palatino Linotype" w:cs="Times New Roman"/>
          <w:i/>
          <w:lang w:eastAsia="es-MX"/>
        </w:rPr>
        <w:t xml:space="preserve">Solicito la nómina de las dos quincenas de marzo 2018, con el nombre de cada servidor público y funcionario, su sueldo y salario bruto sin excedentes o compensaciones. Solicito la nómina de las dos quincenas de marzo 2018, con el </w:t>
      </w:r>
      <w:r w:rsidRPr="00C11788">
        <w:rPr>
          <w:rFonts w:ascii="Palatino Linotype" w:eastAsia="Times New Roman" w:hAnsi="Palatino Linotype" w:cs="Times New Roman"/>
          <w:i/>
          <w:lang w:eastAsia="es-MX"/>
        </w:rPr>
        <w:lastRenderedPageBreak/>
        <w:t>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5F1F26">
        <w:rPr>
          <w:rFonts w:ascii="Palatino Linotype" w:eastAsia="Times New Roman" w:hAnsi="Palatino Linotype" w:cs="Times New Roman"/>
          <w:i/>
          <w:lang w:eastAsia="es-ES"/>
        </w:rPr>
        <w:t>”</w:t>
      </w:r>
      <w:r w:rsidRPr="005F1F26">
        <w:rPr>
          <w:rFonts w:ascii="Palatino Linotype" w:eastAsia="Times New Roman" w:hAnsi="Palatino Linotype" w:cs="Times New Roman"/>
          <w:i/>
          <w:lang w:val="es-ES_tradnl" w:eastAsia="es-ES"/>
        </w:rPr>
        <w:t xml:space="preserve"> (Sic).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A834A2">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6C0E01">
        <w:rPr>
          <w:rFonts w:ascii="Palatino Linotype" w:eastAsia="Calibri" w:hAnsi="Palatino Linotype" w:cs="Arial"/>
          <w:sz w:val="24"/>
          <w:szCs w:val="24"/>
        </w:rPr>
        <w:t>l</w:t>
      </w:r>
      <w:r w:rsidR="006C0E01" w:rsidRPr="006C0E01">
        <w:rPr>
          <w:rFonts w:ascii="Palatino Linotype" w:hAnsi="Palatino Linotype" w:cs="Arial"/>
          <w:b/>
          <w:sz w:val="24"/>
          <w:szCs w:val="24"/>
        </w:rPr>
        <w:t xml:space="preserve"> </w:t>
      </w:r>
      <w:r w:rsidR="006C0E01" w:rsidRPr="00C11788">
        <w:rPr>
          <w:rFonts w:ascii="Palatino Linotype" w:hAnsi="Palatino Linotype" w:cs="Arial"/>
          <w:b/>
          <w:sz w:val="24"/>
          <w:szCs w:val="24"/>
        </w:rPr>
        <w:t>Ayuntamiento de Tecámac</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14566E"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6C0E01">
        <w:rPr>
          <w:rFonts w:ascii="Palatino Linotype" w:hAnsi="Palatino Linotype" w:cs="Arial"/>
          <w:b/>
          <w:sz w:val="24"/>
          <w:szCs w:val="24"/>
        </w:rPr>
        <w:t xml:space="preserve"> al </w:t>
      </w:r>
      <w:r w:rsidR="006C0E01" w:rsidRPr="00C11788">
        <w:rPr>
          <w:rFonts w:ascii="Palatino Linotype" w:hAnsi="Palatino Linotype" w:cs="Arial"/>
          <w:b/>
          <w:sz w:val="24"/>
          <w:szCs w:val="24"/>
        </w:rPr>
        <w:t>Ayuntamiento de Tecámac</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14566E" w:rsidRPr="0014566E" w:rsidRDefault="0014566E" w:rsidP="0014566E">
      <w:pPr>
        <w:pStyle w:val="Prrafodelista"/>
        <w:rPr>
          <w:rFonts w:ascii="Palatino Linotype" w:hAnsi="Palatino Linotype"/>
          <w:sz w:val="24"/>
          <w:szCs w:val="24"/>
        </w:rPr>
      </w:pPr>
    </w:p>
    <w:p w:rsidR="006C0E01" w:rsidRPr="00F00F4B" w:rsidRDefault="006C0E01" w:rsidP="006C0E01">
      <w:pPr>
        <w:numPr>
          <w:ilvl w:val="0"/>
          <w:numId w:val="29"/>
        </w:numPr>
        <w:autoSpaceDE w:val="0"/>
        <w:autoSpaceDN w:val="0"/>
        <w:adjustRightInd w:val="0"/>
        <w:spacing w:before="240" w:after="0" w:line="360" w:lineRule="auto"/>
        <w:ind w:right="49"/>
        <w:jc w:val="both"/>
        <w:rPr>
          <w:rFonts w:ascii="Palatino Linotype" w:eastAsia="Times New Roman" w:hAnsi="Palatino Linotype" w:cs="Arial"/>
          <w:i/>
          <w:sz w:val="24"/>
          <w:szCs w:val="24"/>
          <w:lang w:val="es-ES" w:eastAsia="es-ES"/>
        </w:rPr>
      </w:pPr>
      <w:r w:rsidRPr="00F00F4B">
        <w:rPr>
          <w:rFonts w:ascii="Palatino Linotype" w:eastAsia="MS Mincho" w:hAnsi="Palatino Linotype" w:cs="Times New Roman"/>
          <w:i/>
          <w:sz w:val="24"/>
          <w:szCs w:val="24"/>
          <w:lang w:val="es-ES" w:eastAsia="es-ES"/>
        </w:rPr>
        <w:t>El o los documentos en donde consten el sueldo, salario bruto sin excedentes o compensaciones,</w:t>
      </w:r>
      <w:r w:rsidRPr="00F00F4B">
        <w:rPr>
          <w:rFonts w:ascii="Palatino Linotype" w:eastAsia="Times New Roman" w:hAnsi="Palatino Linotype" w:cs="Arial"/>
          <w:i/>
          <w:color w:val="000000"/>
          <w:sz w:val="24"/>
          <w:szCs w:val="24"/>
          <w:lang w:val="es-ES" w:eastAsia="es-ES"/>
        </w:rPr>
        <w:t xml:space="preserve"> prestaciones, gratificaciones, primas, comisiones, dietas, bonos, estímulos, ingresos y sistemas de compensación, </w:t>
      </w:r>
      <w:r w:rsidRPr="00F00F4B">
        <w:rPr>
          <w:rFonts w:ascii="Palatino Linotype" w:eastAsia="Times New Roman" w:hAnsi="Palatino Linotype" w:cs="Arial"/>
          <w:i/>
          <w:sz w:val="24"/>
          <w:szCs w:val="24"/>
          <w:lang w:val="es-ES" w:eastAsia="es-ES"/>
        </w:rPr>
        <w:t xml:space="preserve">otorgados por el periodo del primero al treinta y uno de marzo de dos mil dieciocho, respecto de todos los </w:t>
      </w:r>
      <w:r w:rsidRPr="00F00F4B">
        <w:rPr>
          <w:rFonts w:ascii="Palatino Linotype" w:eastAsia="MS Mincho" w:hAnsi="Palatino Linotype" w:cs="Times New Roman"/>
          <w:i/>
          <w:sz w:val="24"/>
          <w:szCs w:val="24"/>
          <w:lang w:val="es-ES" w:eastAsia="es-ES"/>
        </w:rPr>
        <w:t>servidores públicos adscritos al sujeto obligado.</w:t>
      </w:r>
    </w:p>
    <w:p w:rsidR="006C0E01" w:rsidRPr="00F00F4B" w:rsidRDefault="006C0E01" w:rsidP="006C0E01">
      <w:pPr>
        <w:widowControl w:val="0"/>
        <w:numPr>
          <w:ilvl w:val="0"/>
          <w:numId w:val="29"/>
        </w:numPr>
        <w:autoSpaceDE w:val="0"/>
        <w:autoSpaceDN w:val="0"/>
        <w:adjustRightInd w:val="0"/>
        <w:spacing w:before="120" w:after="120" w:line="360" w:lineRule="auto"/>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Lista de raya por el periodo del primero al treinta y uno de marzo de dos mil dieciocho.  </w:t>
      </w:r>
    </w:p>
    <w:p w:rsidR="006C0E01" w:rsidRPr="00F00F4B" w:rsidRDefault="006C0E01" w:rsidP="006C0E01">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lastRenderedPageBreak/>
        <w:t xml:space="preserve">Para el caso de que </w:t>
      </w:r>
      <w:r w:rsidRPr="00F00F4B">
        <w:rPr>
          <w:rFonts w:ascii="Palatino Linotype" w:eastAsia="Times New Roman" w:hAnsi="Palatino Linotype" w:cs="Arial"/>
          <w:b/>
          <w:i/>
          <w:sz w:val="24"/>
          <w:szCs w:val="24"/>
          <w:lang w:val="es-ES" w:eastAsia="es-ES"/>
        </w:rPr>
        <w:t xml:space="preserve">El Sujeto Obligado </w:t>
      </w:r>
      <w:r w:rsidRPr="00F00F4B">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F00F4B">
        <w:rPr>
          <w:rFonts w:ascii="Palatino Linotype" w:eastAsia="Times New Roman" w:hAnsi="Palatino Linotype" w:cs="Arial"/>
          <w:b/>
          <w:i/>
          <w:sz w:val="24"/>
          <w:szCs w:val="24"/>
          <w:lang w:val="es-ES" w:eastAsia="es-ES"/>
        </w:rPr>
        <w:t>Recurrente</w:t>
      </w:r>
      <w:r w:rsidRPr="00F00F4B">
        <w:rPr>
          <w:rFonts w:ascii="Palatino Linotype" w:eastAsia="Times New Roman" w:hAnsi="Palatino Linotype" w:cs="Arial"/>
          <w:i/>
          <w:sz w:val="24"/>
          <w:szCs w:val="24"/>
          <w:lang w:val="es-ES" w:eastAsia="es-ES"/>
        </w:rPr>
        <w:t xml:space="preserve"> al momento de dar cumplimiento a la presente resolución. </w:t>
      </w:r>
    </w:p>
    <w:p w:rsidR="006C0E01" w:rsidRPr="00F00F4B" w:rsidRDefault="006C0E01" w:rsidP="006C0E01">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14566E" w:rsidRPr="006D3CE1" w:rsidRDefault="0014566E" w:rsidP="0014566E">
      <w:pPr>
        <w:pStyle w:val="Prrafodelista"/>
        <w:spacing w:before="120" w:after="120" w:line="360" w:lineRule="auto"/>
        <w:ind w:left="0" w:right="49"/>
        <w:jc w:val="both"/>
        <w:rPr>
          <w:rFonts w:ascii="Palatino Linotype" w:hAnsi="Palatino Linotype"/>
          <w:sz w:val="24"/>
          <w:szCs w:val="24"/>
        </w:rPr>
      </w:pPr>
    </w:p>
    <w:p w:rsidR="005C253D" w:rsidRPr="00E93A05"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114324">
        <w:rPr>
          <w:rFonts w:ascii="Palatino Linotype" w:eastAsia="Times New Roman" w:hAnsi="Palatino Linotype" w:cs="Arial"/>
          <w:sz w:val="24"/>
        </w:rPr>
        <w:t>a</w:t>
      </w:r>
      <w:r w:rsidR="006C0E01">
        <w:rPr>
          <w:rFonts w:ascii="Palatino Linotype" w:eastAsia="Times New Roman" w:hAnsi="Palatino Linotype" w:cs="Arial"/>
          <w:sz w:val="24"/>
        </w:rPr>
        <w:t xml:space="preserve"> </w:t>
      </w:r>
      <w:r w:rsidR="00114324">
        <w:rPr>
          <w:rFonts w:ascii="Palatino Linotype" w:eastAsia="Times New Roman" w:hAnsi="Palatino Linotype" w:cs="Arial"/>
          <w:sz w:val="24"/>
        </w:rPr>
        <w:t>l</w:t>
      </w:r>
      <w:r w:rsidR="006C0E01">
        <w:rPr>
          <w:rFonts w:ascii="Palatino Linotype" w:eastAsia="Times New Roman" w:hAnsi="Palatino Linotype" w:cs="Arial"/>
          <w:sz w:val="24"/>
        </w:rPr>
        <w:t xml:space="preserve">a </w:t>
      </w:r>
      <w:r w:rsidR="00114324">
        <w:rPr>
          <w:rFonts w:ascii="Palatino Linotype" w:eastAsia="Times New Roman" w:hAnsi="Palatino Linotype" w:cs="Arial"/>
          <w:sz w:val="24"/>
        </w:rPr>
        <w:t xml:space="preserve"> </w:t>
      </w:r>
      <w:r w:rsidR="00E93A05">
        <w:rPr>
          <w:rFonts w:ascii="Palatino Linotype" w:eastAsia="Times New Roman" w:hAnsi="Palatino Linotype" w:cs="Arial"/>
          <w:sz w:val="24"/>
        </w:rPr>
        <w:t>información solicitada</w:t>
      </w:r>
      <w:r w:rsidR="006C0E01">
        <w:rPr>
          <w:rFonts w:ascii="Palatino Linotype" w:eastAsia="Times New Roman" w:hAnsi="Palatino Linotype" w:cs="Arial"/>
          <w:sz w:val="24"/>
        </w:rPr>
        <w:t xml:space="preserve"> en el inciso b</w:t>
      </w:r>
      <w:r w:rsidR="002A071E" w:rsidRPr="002A071E">
        <w:rPr>
          <w:rFonts w:ascii="Palatino Linotype" w:eastAsia="Times New Roman" w:hAnsi="Palatino Linotype" w:cs="Arial"/>
          <w:sz w:val="24"/>
        </w:rPr>
        <w:t xml:space="preserve">): </w:t>
      </w:r>
    </w:p>
    <w:p w:rsidR="006C0E01" w:rsidRDefault="006C0E01" w:rsidP="00422BF0">
      <w:pPr>
        <w:pStyle w:val="Prrafodelista"/>
        <w:spacing w:before="240" w:after="240" w:line="360" w:lineRule="auto"/>
        <w:ind w:left="0" w:right="49"/>
        <w:jc w:val="both"/>
        <w:rPr>
          <w:rFonts w:ascii="Palatino Linotype" w:eastAsia="Times New Roman" w:hAnsi="Palatino Linotype" w:cs="Arial"/>
          <w:i/>
          <w:sz w:val="24"/>
        </w:rPr>
      </w:pPr>
    </w:p>
    <w:p w:rsidR="00114324" w:rsidRDefault="006C0E01" w:rsidP="00422BF0">
      <w:pPr>
        <w:pStyle w:val="Prrafodelista"/>
        <w:spacing w:before="240" w:after="240" w:line="360" w:lineRule="auto"/>
        <w:ind w:left="0" w:right="49"/>
        <w:jc w:val="both"/>
        <w:rPr>
          <w:rFonts w:ascii="Palatino Linotype" w:eastAsia="Times New Roman" w:hAnsi="Palatino Linotype" w:cs="Arial"/>
          <w:i/>
          <w:sz w:val="24"/>
        </w:rPr>
      </w:pPr>
      <w:r w:rsidRPr="006C0E01">
        <w:rPr>
          <w:rFonts w:ascii="Palatino Linotype" w:eastAsia="Times New Roman" w:hAnsi="Palatino Linotype" w:cs="Arial"/>
          <w:i/>
          <w:sz w:val="24"/>
        </w:rPr>
        <w:t>Para el caso de que El Sujeto Obligado no haya generado la información relativa al inciso b), bastará con que lo haga del conocimiento del Recurrente al momento de dar cumplimiento a la presente resolución.</w:t>
      </w:r>
    </w:p>
    <w:p w:rsidR="006C0E01" w:rsidRPr="00422BF0" w:rsidRDefault="006C0E01" w:rsidP="00422BF0">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160269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160269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944CE0">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944CE0">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944CE0">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rsidR="00E6179D" w:rsidRPr="00B73B30" w:rsidRDefault="00E6179D" w:rsidP="00944CE0">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944CE0">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944CE0">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944CE0">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w:t>
      </w:r>
      <w:r w:rsidRPr="00427B79">
        <w:rPr>
          <w:rFonts w:ascii="Palatino Linotype" w:eastAsia="Calibri" w:hAnsi="Palatino Linotype" w:cs="Arial"/>
          <w:sz w:val="24"/>
          <w:szCs w:val="24"/>
        </w:rPr>
        <w:lastRenderedPageBreak/>
        <w:t>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944CE0">
      <w:pPr>
        <w:spacing w:after="0" w:line="240" w:lineRule="auto"/>
        <w:ind w:left="567" w:right="618"/>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944CE0">
      <w:pPr>
        <w:spacing w:after="0" w:line="240" w:lineRule="auto"/>
        <w:ind w:left="567" w:right="618"/>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944CE0">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944CE0" w:rsidRDefault="00944CE0" w:rsidP="00944CE0">
      <w:pPr>
        <w:spacing w:after="0" w:line="360" w:lineRule="auto"/>
        <w:contextualSpacing/>
        <w:jc w:val="both"/>
        <w:rPr>
          <w:rFonts w:ascii="Palatino Linotype" w:hAnsi="Palatino Linotype"/>
          <w:sz w:val="24"/>
          <w:szCs w:val="24"/>
        </w:rPr>
      </w:pPr>
    </w:p>
    <w:p w:rsidR="00944CE0" w:rsidRDefault="00944CE0" w:rsidP="00944CE0">
      <w:pPr>
        <w:spacing w:after="0" w:line="360" w:lineRule="auto"/>
        <w:contextualSpacing/>
        <w:jc w:val="both"/>
        <w:rPr>
          <w:rFonts w:ascii="Palatino Linotype" w:hAnsi="Palatino Linotype"/>
          <w:sz w:val="24"/>
          <w:szCs w:val="24"/>
        </w:rPr>
      </w:pPr>
    </w:p>
    <w:p w:rsidR="00944CE0" w:rsidRDefault="00944CE0" w:rsidP="00944CE0">
      <w:pPr>
        <w:pStyle w:val="Prrafodelista"/>
        <w:rPr>
          <w:rFonts w:ascii="Palatino Linotype" w:hAnsi="Palatino Linotype"/>
          <w:sz w:val="24"/>
          <w:szCs w:val="24"/>
        </w:rPr>
      </w:pPr>
    </w:p>
    <w:p w:rsidR="00944CE0" w:rsidRPr="00D10121" w:rsidRDefault="00944CE0" w:rsidP="00944CE0">
      <w:pPr>
        <w:spacing w:after="0" w:line="360" w:lineRule="auto"/>
        <w:contextualSpacing/>
        <w:jc w:val="both"/>
        <w:rPr>
          <w:rFonts w:ascii="Palatino Linotype" w:hAnsi="Palatino Linotype"/>
          <w:sz w:val="24"/>
          <w:szCs w:val="24"/>
        </w:rPr>
      </w:pPr>
    </w:p>
    <w:p w:rsidR="00E6179D" w:rsidRPr="0083488C" w:rsidRDefault="00CD53CB" w:rsidP="00CD53CB">
      <w:pPr>
        <w:pStyle w:val="Ttulo1"/>
        <w:rPr>
          <w:rFonts w:eastAsia="Calibri"/>
          <w:szCs w:val="24"/>
        </w:rPr>
      </w:pPr>
      <w:bookmarkStart w:id="6" w:name="_Toc531602698"/>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D8" w:rsidRDefault="006D7DD8" w:rsidP="00E82D3D">
      <w:pPr>
        <w:spacing w:after="0" w:line="240" w:lineRule="auto"/>
      </w:pPr>
      <w:r>
        <w:separator/>
      </w:r>
    </w:p>
  </w:endnote>
  <w:endnote w:type="continuationSeparator" w:id="0">
    <w:p w:rsidR="006D7DD8" w:rsidRDefault="006D7DD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5457">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5457">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D8" w:rsidRDefault="006D7DD8" w:rsidP="00E82D3D">
      <w:pPr>
        <w:spacing w:after="0" w:line="240" w:lineRule="auto"/>
      </w:pPr>
      <w:r>
        <w:separator/>
      </w:r>
    </w:p>
  </w:footnote>
  <w:footnote w:type="continuationSeparator" w:id="0">
    <w:p w:rsidR="006D7DD8" w:rsidRDefault="006D7DD8"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A54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A54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A54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BF4ADD"/>
    <w:multiLevelType w:val="hybridMultilevel"/>
    <w:tmpl w:val="5AFA8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6"/>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8"/>
  </w:num>
  <w:num w:numId="14">
    <w:abstractNumId w:val="27"/>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9"/>
  </w:num>
  <w:num w:numId="3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14324"/>
    <w:rsid w:val="001240A5"/>
    <w:rsid w:val="00137853"/>
    <w:rsid w:val="0014566E"/>
    <w:rsid w:val="00147D04"/>
    <w:rsid w:val="0016014E"/>
    <w:rsid w:val="001604B4"/>
    <w:rsid w:val="001708DF"/>
    <w:rsid w:val="00170C4D"/>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3891"/>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574AA"/>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457"/>
    <w:rsid w:val="004A5F86"/>
    <w:rsid w:val="004C57A6"/>
    <w:rsid w:val="004D772F"/>
    <w:rsid w:val="004F3ABB"/>
    <w:rsid w:val="004F4DA5"/>
    <w:rsid w:val="00501D40"/>
    <w:rsid w:val="00510EE4"/>
    <w:rsid w:val="0051740A"/>
    <w:rsid w:val="00522308"/>
    <w:rsid w:val="0052306C"/>
    <w:rsid w:val="00535FDA"/>
    <w:rsid w:val="005441DE"/>
    <w:rsid w:val="005503D3"/>
    <w:rsid w:val="00554B28"/>
    <w:rsid w:val="005556CA"/>
    <w:rsid w:val="005565CE"/>
    <w:rsid w:val="005650D9"/>
    <w:rsid w:val="00567957"/>
    <w:rsid w:val="005905A5"/>
    <w:rsid w:val="00590C2D"/>
    <w:rsid w:val="00590D95"/>
    <w:rsid w:val="00594E5C"/>
    <w:rsid w:val="005A2F43"/>
    <w:rsid w:val="005C0258"/>
    <w:rsid w:val="005C253D"/>
    <w:rsid w:val="005C5909"/>
    <w:rsid w:val="005D0118"/>
    <w:rsid w:val="005E3091"/>
    <w:rsid w:val="005E5192"/>
    <w:rsid w:val="005F30BC"/>
    <w:rsid w:val="005F3E96"/>
    <w:rsid w:val="006055D1"/>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0E01"/>
    <w:rsid w:val="006C5E0D"/>
    <w:rsid w:val="006D3C8A"/>
    <w:rsid w:val="006D3CE1"/>
    <w:rsid w:val="006D7DD8"/>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4C38"/>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A2CCF"/>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4CE0"/>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9F7E42"/>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34A2"/>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5A47"/>
    <w:rsid w:val="00DB06D8"/>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93A05"/>
    <w:rsid w:val="00E96980"/>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229C"/>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0AC73-D816-4441-9890-3B9FDBD7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3637</Words>
  <Characters>20006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49</cp:revision>
  <cp:lastPrinted>2018-12-12T23:37:00Z</cp:lastPrinted>
  <dcterms:created xsi:type="dcterms:W3CDTF">2018-10-22T18:42:00Z</dcterms:created>
  <dcterms:modified xsi:type="dcterms:W3CDTF">2019-01-18T01:49:00Z</dcterms:modified>
</cp:coreProperties>
</file>